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odzieży używanej w Polsce z potencjałem na 2026 rok. Dane i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1.12.2025] Zmiany w gospodarce, rosnąca świadomość ekologiczna oraz inflacja trwale przekształciły nawyki zakupowe Polaków. W obliczu nadchodzącego roku 2026 rynek handlu detalicznego redefiniuje swoje priorytety. Jak wynika z danych rynkowych, sektor „second-hand” w Polsce osiągnął wartość bliską 9,5 mld złotych, a profesjonalny obrót odzieżą używaną staje się jednym z modeli biznesowych o najniższym progu wejścia i wysokiej odporności na kryzysy.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 sklepy z odzieżą używaną kojarzone były głównie z towarem niskiej jakości. Obecnie, szczególnie w dużych aglomeracjach, przechodzą one transformację w stronę butików vintage i punktów mody cyrkularnej. Analiza rynku wskazuje, że ten segment handlu przestał być jedynie alternatywą ekonomiczną, a stał się świadomym wyborem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Miliardowy rynek w fazie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potwierdzają dynamiczny rozwój branży. Według raportów, m.in. OC&amp;C Strategy Consultants, polski rynek odzieży używanej w ostatnich latach notował wzrosty rzędu ponad 30 proc. rok do roku. Szacunki wskazują, że w 2024 roku wartość sprzedaży w tym sektorze zbliżyła się do poziomu 9,5 mld złotych, a prognozy na lata 2025–2026 zakładają utrzymanie dwucyfrowej dynamiki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 się również profil klienta. Badania konsumenckie wskazują, że niemal 70 proc. Polaków deklaruje zakup odzieży z drugiej ręki. Oznacza to bazę ponad 20 milionów potencjalnych odbiorców, dla których zakupy te wynikają nie tylko z przymusu ekonomicznego, ale coraz częściej z chęci dbania o środowisko i poszukiwania unikalnego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cyrkularna wyborem pokoleniowym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przedstawicieli pokolenia Z oraz Millenialsów, którzy będą stanowić trzon grupy nabywczej w 2026 roku, „second-hand” to wybór etyczny. Sprzeciw wobec zjawiska fast fashion oraz chęć ograniczenia śladu węglowego sprawiają, że odzież używana staje się towarem pożądanym. Z perspektywy biznesowej oznacza to wejście w niszę aktywnie promowaną przez ekologów i influencerów, co zapewnia stabilny popyt organiczny.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asortymentu kluczem do rentowności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podkreślają, że sukces w tej branży zależy w głównej mierze od źródła pozyskania towaru. Klienci poszukują odzieży markowej, w dobrym stanie, a nie zniszczonych ubrań niskiej jakości. Fundamentem rentownego biznesplanu jest współpraca z bezpośrednimi importerami, sprowadzającymi towar z rynków takich jak Wielka Brytania, Irlandia czy Skandynawia.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dostawcy determinuje marżę sklepu. Nowi przedsiębiorcy powinni unikać przypadkowych pośredników na rzecz importerów gwarantujących dostęp do towaru kategorii „Cream”, czyli ubrań nowych z metkami lub w stanie idealnym. To ten segment generuje obecnie największe zyski w detalu</w:t>
      </w:r>
      <w:r>
        <w:rPr>
          <w:rFonts w:ascii="calibri" w:hAnsi="calibri" w:eastAsia="calibri" w:cs="calibri"/>
          <w:sz w:val="24"/>
          <w:szCs w:val="24"/>
        </w:rPr>
        <w:t xml:space="preserve"> – wskazuje Mateusz Płusa, ekspert rynku i manager w firmie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biznesowy odporny na wahania gospodarcze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sektorów usługowych, sklep z odzieżą używaną charakteryzuje się relatywnie niższymi kosztami stałymi i brakiem konieczności inwestowania w drogi, specjalistyczny sprzęt. Marże w branży pozostają na wysokim poziomie, pod warunkiem umiejętnej selekcji i wyceny towaru. Współpraca z doświadczonymi importerami pozwala zminimalizować ryzyko zakupu towaru niespełniającego oczekiwań konsumentów, co jest częstą przyczyną niepowodzeń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Ewolucja formatu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konkurencyjność w 2026 roku, placówki handlowe muszą odejść od stereotypowego wizerunku „lumpeksu”. Nowoczesny second-hand powinien dbać o ekspozycję zbliżoną do standardów sieciówek – z segregacją kolorystyczną i wieszakami zamiast koszy. Istotnym trendem jest również przenoszenie sprzedaży do sieci. Transmisje sprzedażowe na żywo (live commerce) pozwalają sklepom stacjonarnym na dotarcie do klientów w całej Polsce, stanowiąc skuteczne narzędzie budowania społeczności i zwiększania obrotów.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2026-06-27T10:43:51+02:00</dcterms:created>
  <dcterms:modified xsi:type="dcterms:W3CDTF">2026-06-27T10:43:51+02:00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